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410737" w:rsidRDefault="000C6B2C">
      <w:pPr>
        <w:rPr>
          <w:rFonts w:ascii="Garamond" w:hAnsi="Garamond"/>
          <w:b/>
          <w:i/>
          <w:color w:val="FF0000"/>
          <w:sz w:val="20"/>
        </w:rPr>
      </w:pPr>
      <w:r w:rsidRPr="00774DE2">
        <w:rPr>
          <w:rFonts w:ascii="Garamond" w:hAnsi="Garamond"/>
          <w:i/>
          <w:sz w:val="20"/>
        </w:rPr>
        <w:t>Číslo smlouvy objednatele</w:t>
      </w:r>
      <w:r w:rsidRPr="00410737">
        <w:rPr>
          <w:rFonts w:ascii="Garamond" w:hAnsi="Garamond"/>
          <w:i/>
          <w:sz w:val="20"/>
        </w:rPr>
        <w:t>:</w:t>
      </w:r>
      <w:r w:rsidR="00E75321" w:rsidRPr="00410737">
        <w:rPr>
          <w:rFonts w:ascii="Garamond" w:hAnsi="Garamond"/>
          <w:i/>
          <w:sz w:val="20"/>
        </w:rPr>
        <w:t xml:space="preserve"> </w:t>
      </w:r>
      <w:r w:rsidR="009A5383">
        <w:rPr>
          <w:rFonts w:ascii="Garamond" w:hAnsi="Garamond"/>
          <w:b/>
          <w:i/>
          <w:color w:val="943634" w:themeColor="accent2" w:themeShade="BF"/>
          <w:sz w:val="22"/>
          <w:szCs w:val="22"/>
        </w:rPr>
        <w:t>……..</w:t>
      </w:r>
      <w:r w:rsidR="00C25172" w:rsidRPr="00410737">
        <w:rPr>
          <w:rFonts w:ascii="Garamond" w:hAnsi="Garamond"/>
          <w:b/>
          <w:i/>
          <w:color w:val="943634" w:themeColor="accent2" w:themeShade="BF"/>
          <w:sz w:val="22"/>
          <w:szCs w:val="22"/>
        </w:rPr>
        <w:t>/ODO/201</w:t>
      </w:r>
      <w:r w:rsidR="001013D9" w:rsidRPr="00410737">
        <w:rPr>
          <w:rFonts w:ascii="Garamond" w:hAnsi="Garamond"/>
          <w:b/>
          <w:i/>
          <w:color w:val="943634" w:themeColor="accent2" w:themeShade="BF"/>
          <w:sz w:val="22"/>
          <w:szCs w:val="22"/>
        </w:rPr>
        <w:t>9</w:t>
      </w:r>
    </w:p>
    <w:p w:rsidR="000C6B2C" w:rsidRPr="00774DE2" w:rsidRDefault="000C6B2C">
      <w:pPr>
        <w:rPr>
          <w:rFonts w:ascii="Garamond" w:hAnsi="Garamond"/>
          <w:i/>
          <w:sz w:val="20"/>
        </w:rPr>
      </w:pPr>
      <w:r w:rsidRPr="00410737">
        <w:rPr>
          <w:rFonts w:ascii="Garamond" w:hAnsi="Garamond"/>
          <w:i/>
          <w:sz w:val="20"/>
        </w:rPr>
        <w:t xml:space="preserve">Číslo smlouvy zhotovitele:  </w:t>
      </w:r>
      <w:r w:rsidR="00F31CC2" w:rsidRPr="00410737">
        <w:rPr>
          <w:rFonts w:ascii="Garamond" w:hAnsi="Garamond"/>
          <w:i/>
        </w:rPr>
        <w:t>…………..</w:t>
      </w:r>
    </w:p>
    <w:p w:rsidR="00C572AF" w:rsidRDefault="000C6B2C" w:rsidP="00C572AF">
      <w:pPr>
        <w:rPr>
          <w:rFonts w:ascii="Garamond" w:hAnsi="Garamond"/>
          <w:color w:val="943634" w:themeColor="accent2" w:themeShade="BF"/>
          <w:sz w:val="20"/>
          <w:szCs w:val="20"/>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w:t>
      </w:r>
      <w:r w:rsidR="007D4D0F" w:rsidRPr="00C572AF">
        <w:rPr>
          <w:rFonts w:ascii="Garamond" w:hAnsi="Garamond"/>
          <w:i/>
          <w:sz w:val="20"/>
          <w:szCs w:val="20"/>
        </w:rPr>
        <w:t xml:space="preserve">číslo </w:t>
      </w:r>
      <w:r w:rsidR="009A5383">
        <w:rPr>
          <w:rFonts w:ascii="Garamond" w:hAnsi="Garamond"/>
          <w:color w:val="943634" w:themeColor="accent2" w:themeShade="BF"/>
          <w:sz w:val="20"/>
          <w:szCs w:val="20"/>
        </w:rPr>
        <w:t>……….</w:t>
      </w:r>
      <w:r w:rsidR="00C572AF" w:rsidRPr="00C572AF">
        <w:rPr>
          <w:rFonts w:ascii="Garamond" w:hAnsi="Garamond"/>
          <w:color w:val="943634" w:themeColor="accent2" w:themeShade="BF"/>
          <w:sz w:val="20"/>
          <w:szCs w:val="20"/>
        </w:rPr>
        <w:t>/MR/SÚ/2019</w:t>
      </w:r>
    </w:p>
    <w:p w:rsidR="000C6B2C" w:rsidRPr="00774DE2" w:rsidRDefault="00C572AF" w:rsidP="00C572AF">
      <w:pPr>
        <w:rPr>
          <w:rFonts w:ascii="Garamond" w:hAnsi="Garamond"/>
        </w:rPr>
      </w:pPr>
      <w:r w:rsidRPr="00410737">
        <w:rPr>
          <w:rFonts w:ascii="Garamond" w:hAnsi="Garamond"/>
          <w:color w:val="943634" w:themeColor="accent2" w:themeShade="BF"/>
          <w:sz w:val="22"/>
          <w:szCs w:val="22"/>
        </w:rPr>
        <w:t xml:space="preserve">      </w:t>
      </w: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703ABE" w:rsidRDefault="000C6B2C" w:rsidP="00703ABE">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9A5383">
        <w:rPr>
          <w:rFonts w:ascii="Garamond" w:hAnsi="Garamond"/>
          <w:b/>
        </w:rPr>
        <w:t>XXXXXXXXXX</w:t>
      </w:r>
      <w:r w:rsidR="00703ABE" w:rsidRPr="00774DE2">
        <w:rPr>
          <w:rFonts w:ascii="Garamond" w:hAnsi="Garamond"/>
          <w:b/>
        </w:rPr>
        <w:t xml:space="preserve"> </w:t>
      </w:r>
    </w:p>
    <w:p w:rsidR="00703ABE" w:rsidRDefault="00703ABE" w:rsidP="00703ABE">
      <w:pPr>
        <w:rPr>
          <w:rFonts w:ascii="Garamond" w:hAnsi="Garamond"/>
        </w:rPr>
      </w:pPr>
      <w:r>
        <w:rPr>
          <w:rFonts w:ascii="Garamond" w:hAnsi="Garamond"/>
          <w:b/>
        </w:rPr>
        <w:tab/>
      </w:r>
      <w:r>
        <w:rPr>
          <w:rFonts w:ascii="Garamond" w:hAnsi="Garamond"/>
        </w:rPr>
        <w:t xml:space="preserve">se sídlem: </w:t>
      </w:r>
    </w:p>
    <w:p w:rsidR="00703ABE" w:rsidRDefault="00703ABE" w:rsidP="00703ABE">
      <w:pPr>
        <w:ind w:firstLine="708"/>
        <w:rPr>
          <w:rFonts w:ascii="Garamond" w:hAnsi="Garamond"/>
        </w:rPr>
      </w:pPr>
      <w:r w:rsidRPr="00554618">
        <w:rPr>
          <w:rFonts w:ascii="Garamond" w:hAnsi="Garamond"/>
        </w:rPr>
        <w:t>doručovací adresou:</w:t>
      </w:r>
      <w:r>
        <w:rPr>
          <w:rFonts w:ascii="Garamond" w:hAnsi="Garamond"/>
        </w:rPr>
        <w:t xml:space="preserve"> </w:t>
      </w:r>
    </w:p>
    <w:p w:rsidR="00703ABE" w:rsidRDefault="00703ABE" w:rsidP="00703ABE">
      <w:pPr>
        <w:ind w:firstLine="708"/>
        <w:rPr>
          <w:rFonts w:ascii="Garamond" w:hAnsi="Garamond"/>
        </w:rPr>
      </w:pPr>
      <w:r>
        <w:rPr>
          <w:rFonts w:ascii="Garamond" w:hAnsi="Garamond"/>
        </w:rPr>
        <w:t xml:space="preserve">zapsaná v obchodním rejstříku vedeném </w:t>
      </w:r>
    </w:p>
    <w:p w:rsidR="00703ABE" w:rsidRPr="00510DA1" w:rsidRDefault="00703ABE" w:rsidP="00703ABE">
      <w:pPr>
        <w:ind w:firstLine="708"/>
        <w:rPr>
          <w:rFonts w:ascii="Garamond" w:hAnsi="Garamond"/>
        </w:rPr>
      </w:pPr>
      <w:r w:rsidRPr="00510DA1">
        <w:rPr>
          <w:rFonts w:ascii="Garamond" w:hAnsi="Garamond"/>
        </w:rPr>
        <w:t>IČO:</w:t>
      </w:r>
      <w:r>
        <w:rPr>
          <w:rFonts w:ascii="Garamond" w:hAnsi="Garamond"/>
        </w:rPr>
        <w:t xml:space="preserve"> </w:t>
      </w:r>
    </w:p>
    <w:p w:rsidR="00703ABE" w:rsidRPr="00510DA1" w:rsidRDefault="00703ABE" w:rsidP="00703ABE">
      <w:pPr>
        <w:ind w:firstLine="708"/>
        <w:rPr>
          <w:rFonts w:ascii="Garamond" w:hAnsi="Garamond"/>
        </w:rPr>
      </w:pPr>
      <w:r>
        <w:rPr>
          <w:rFonts w:ascii="Garamond" w:hAnsi="Garamond"/>
        </w:rPr>
        <w:t xml:space="preserve">DIČ: </w:t>
      </w:r>
      <w:r w:rsidRPr="00510DA1">
        <w:rPr>
          <w:rFonts w:ascii="Garamond" w:hAnsi="Garamond"/>
        </w:rPr>
        <w:t xml:space="preserve"> </w:t>
      </w:r>
    </w:p>
    <w:p w:rsidR="00703ABE" w:rsidRPr="00782757" w:rsidRDefault="00703ABE" w:rsidP="00703ABE">
      <w:pPr>
        <w:ind w:firstLine="708"/>
        <w:rPr>
          <w:rFonts w:ascii="Garamond" w:hAnsi="Garamond"/>
        </w:rPr>
      </w:pPr>
      <w:r>
        <w:rPr>
          <w:rFonts w:ascii="Garamond" w:hAnsi="Garamond"/>
        </w:rPr>
        <w:t xml:space="preserve">Zastoupená: </w:t>
      </w:r>
    </w:p>
    <w:p w:rsidR="00703ABE" w:rsidRDefault="00703ABE" w:rsidP="00703ABE">
      <w:pPr>
        <w:rPr>
          <w:rFonts w:ascii="Garamond" w:hAnsi="Garamond"/>
        </w:rPr>
      </w:pPr>
      <w:r w:rsidRPr="00782757">
        <w:rPr>
          <w:rFonts w:ascii="Garamond" w:hAnsi="Garamond"/>
        </w:rPr>
        <w:t xml:space="preserve">         </w:t>
      </w:r>
      <w:r>
        <w:rPr>
          <w:rFonts w:ascii="Garamond" w:hAnsi="Garamond"/>
        </w:rPr>
        <w:tab/>
        <w:t xml:space="preserve">Bankovní spojení:  </w:t>
      </w:r>
    </w:p>
    <w:p w:rsidR="00703ABE" w:rsidRDefault="00703ABE" w:rsidP="00703ABE">
      <w:pPr>
        <w:ind w:firstLine="708"/>
        <w:rPr>
          <w:rFonts w:ascii="Garamond" w:hAnsi="Garamond"/>
        </w:rPr>
      </w:pPr>
      <w:r w:rsidRPr="00510DA1">
        <w:rPr>
          <w:rFonts w:ascii="Garamond" w:hAnsi="Garamond"/>
        </w:rPr>
        <w:t>Číslo účtu:</w:t>
      </w:r>
      <w:r>
        <w:rPr>
          <w:rFonts w:ascii="Garamond" w:hAnsi="Garamond"/>
        </w:rPr>
        <w:t xml:space="preserve"> </w:t>
      </w:r>
    </w:p>
    <w:p w:rsidR="00703ABE" w:rsidRDefault="00703ABE" w:rsidP="00703ABE">
      <w:pPr>
        <w:ind w:firstLine="708"/>
        <w:rPr>
          <w:sz w:val="22"/>
          <w:szCs w:val="22"/>
        </w:rPr>
      </w:pPr>
      <w:r w:rsidRPr="00782757">
        <w:rPr>
          <w:rFonts w:ascii="Garamond" w:hAnsi="Garamond"/>
        </w:rPr>
        <w:t xml:space="preserve">Odpovědný pracovník ve věcech technických: </w:t>
      </w:r>
    </w:p>
    <w:p w:rsidR="00703ABE" w:rsidRPr="00782757" w:rsidRDefault="00703ABE" w:rsidP="00703ABE">
      <w:pPr>
        <w:ind w:firstLine="708"/>
        <w:rPr>
          <w:rFonts w:ascii="Garamond" w:hAnsi="Garamond"/>
        </w:rPr>
      </w:pPr>
      <w:r>
        <w:rPr>
          <w:sz w:val="22"/>
          <w:szCs w:val="22"/>
        </w:rPr>
        <w:t>tel:</w:t>
      </w:r>
      <w:r w:rsidR="009A5383">
        <w:rPr>
          <w:sz w:val="22"/>
          <w:szCs w:val="22"/>
        </w:rPr>
        <w:t xml:space="preserve">                           </w:t>
      </w:r>
      <w:r>
        <w:rPr>
          <w:rFonts w:ascii="Garamond" w:hAnsi="Garamond"/>
        </w:rPr>
        <w:t xml:space="preserve">e-mail: </w:t>
      </w:r>
    </w:p>
    <w:p w:rsidR="00703ABE" w:rsidRDefault="00703ABE" w:rsidP="00703ABE">
      <w:pPr>
        <w:ind w:firstLine="708"/>
        <w:rPr>
          <w:sz w:val="22"/>
          <w:szCs w:val="22"/>
        </w:rPr>
      </w:pPr>
      <w:r w:rsidRPr="00782757">
        <w:rPr>
          <w:rFonts w:ascii="Garamond" w:hAnsi="Garamond"/>
        </w:rPr>
        <w:t>Stavbyvedoucí:</w:t>
      </w:r>
      <w:r w:rsidR="009A5383">
        <w:rPr>
          <w:rFonts w:ascii="Garamond" w:hAnsi="Garamond"/>
        </w:rPr>
        <w:t xml:space="preserve">                     </w:t>
      </w:r>
      <w:r>
        <w:rPr>
          <w:sz w:val="22"/>
          <w:szCs w:val="22"/>
        </w:rPr>
        <w:t>, tel:</w:t>
      </w:r>
      <w:r w:rsidR="009A5383">
        <w:rPr>
          <w:sz w:val="22"/>
          <w:szCs w:val="22"/>
        </w:rPr>
        <w:t xml:space="preserve">                          </w:t>
      </w:r>
      <w:r w:rsidRPr="00B90976">
        <w:rPr>
          <w:sz w:val="22"/>
          <w:szCs w:val="22"/>
        </w:rPr>
        <w:t xml:space="preserve">, e-mail: </w:t>
      </w:r>
    </w:p>
    <w:p w:rsidR="00703ABE" w:rsidRPr="00782757" w:rsidRDefault="00703ABE" w:rsidP="00703ABE">
      <w:pPr>
        <w:ind w:firstLine="708"/>
        <w:rPr>
          <w:rFonts w:ascii="Garamond" w:hAnsi="Garamond"/>
        </w:rPr>
      </w:pPr>
    </w:p>
    <w:p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410737" w:rsidRDefault="00DF6323" w:rsidP="007D4D2C">
      <w:pPr>
        <w:ind w:firstLine="708"/>
        <w:jc w:val="both"/>
        <w:rPr>
          <w:rFonts w:ascii="Garamond" w:hAnsi="Garamond"/>
          <w:color w:val="943634" w:themeColor="accent2" w:themeShade="BF"/>
          <w:sz w:val="26"/>
        </w:rPr>
      </w:pPr>
      <w:r w:rsidRPr="00410737">
        <w:rPr>
          <w:rFonts w:ascii="Garamond" w:hAnsi="Garamond"/>
          <w:b/>
          <w:color w:val="943634" w:themeColor="accent2" w:themeShade="BF"/>
        </w:rPr>
        <w:t xml:space="preserve">Název akce: </w:t>
      </w:r>
      <w:r w:rsidR="00410737" w:rsidRPr="00410737">
        <w:rPr>
          <w:rFonts w:ascii="Garamond" w:hAnsi="Garamond"/>
          <w:b/>
          <w:color w:val="943634" w:themeColor="accent2" w:themeShade="BF"/>
          <w:u w:val="single"/>
        </w:rPr>
        <w:t xml:space="preserve">Oprava </w:t>
      </w:r>
      <w:r w:rsidR="009A5383">
        <w:rPr>
          <w:rFonts w:ascii="Garamond" w:hAnsi="Garamond"/>
          <w:b/>
          <w:color w:val="943634" w:themeColor="accent2" w:themeShade="BF"/>
          <w:u w:val="single"/>
        </w:rPr>
        <w:t>most</w:t>
      </w:r>
      <w:r w:rsidR="00AF65AE">
        <w:rPr>
          <w:rFonts w:ascii="Garamond" w:hAnsi="Garamond"/>
          <w:b/>
          <w:color w:val="943634" w:themeColor="accent2" w:themeShade="BF"/>
          <w:u w:val="single"/>
        </w:rPr>
        <w:t>ů ev.č. 210 41 – 5 a 6 Šindelová</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2.1.   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9A5383" w:rsidRPr="00405CEA" w:rsidRDefault="00DF6323" w:rsidP="00405CEA">
      <w:pPr>
        <w:pStyle w:val="Zkladntextodsazen3"/>
        <w:spacing w:before="60" w:after="60"/>
        <w:rPr>
          <w:rFonts w:ascii="Garamond" w:hAnsi="Garamond"/>
          <w:bCs/>
          <w:szCs w:val="22"/>
        </w:rPr>
      </w:pPr>
      <w:r w:rsidRPr="00774DE2">
        <w:rPr>
          <w:rFonts w:ascii="Garamond" w:hAnsi="Garamond"/>
          <w:szCs w:val="22"/>
        </w:rPr>
        <w:t xml:space="preserve">2.2.   </w:t>
      </w:r>
      <w:r w:rsidR="00835011" w:rsidRPr="00774DE2">
        <w:rPr>
          <w:rFonts w:ascii="Garamond" w:hAnsi="Garamond"/>
          <w:szCs w:val="22"/>
        </w:rPr>
        <w:t xml:space="preserve"> </w:t>
      </w:r>
      <w:r w:rsidR="00405CEA">
        <w:rPr>
          <w:rFonts w:ascii="Garamond" w:hAnsi="Garamond"/>
          <w:szCs w:val="22"/>
        </w:rPr>
        <w:t>V rámci plnění Díla bude u</w:t>
      </w:r>
      <w:r w:rsidR="00AF65AE" w:rsidRPr="00405CEA">
        <w:rPr>
          <w:rFonts w:ascii="Garamond" w:hAnsi="Garamond"/>
          <w:szCs w:val="22"/>
        </w:rPr>
        <w:t xml:space="preserve"> obou mostů </w:t>
      </w:r>
      <w:r w:rsidR="00AC0CEE" w:rsidRPr="00405CEA">
        <w:rPr>
          <w:rFonts w:ascii="Garamond" w:hAnsi="Garamond"/>
          <w:szCs w:val="22"/>
        </w:rPr>
        <w:t>odstraněno stávající ocelové zábradlí. Mostní římsy budou vyspraveny betonem C30/37 XF4 a celoplošně sanovány dle ČSN-EN 1504 vč. finálního ochranného nátěru proti chloridům. Ostatní betonové KCE budou lokálně vyspraveny sanační omítkou. Na opravené mostní římsy bude osazen</w:t>
      </w:r>
      <w:r w:rsidR="00405CEA">
        <w:rPr>
          <w:rFonts w:ascii="Garamond" w:hAnsi="Garamond"/>
          <w:szCs w:val="22"/>
        </w:rPr>
        <w:t>o</w:t>
      </w:r>
      <w:r w:rsidR="00AC0CEE" w:rsidRPr="00405CEA">
        <w:rPr>
          <w:rFonts w:ascii="Garamond" w:hAnsi="Garamond"/>
          <w:szCs w:val="22"/>
        </w:rPr>
        <w:t xml:space="preserve"> mostní zábradlí se svislou výplní s pozinkou úpravou proti korozi na patní desky s celoplošným podmazáním plastmaltou. Naplaveniny v korytě řeky Rotava budou odtěženy vč. vegetačního porostu v krajích </w:t>
      </w:r>
      <w:r w:rsidR="008D16AA" w:rsidRPr="00405CEA">
        <w:rPr>
          <w:rFonts w:ascii="Garamond" w:hAnsi="Garamond"/>
          <w:szCs w:val="22"/>
        </w:rPr>
        <w:t xml:space="preserve">kynety. Kamenná dlažba kynety obou mostních objektů bude vyspravena předlážděním. </w:t>
      </w:r>
      <w:r w:rsidR="00405CEA">
        <w:rPr>
          <w:rFonts w:ascii="Garamond" w:hAnsi="Garamond"/>
          <w:bCs/>
          <w:szCs w:val="22"/>
        </w:rPr>
        <w:t>Součástí plnění Díla je zajištění DIO (</w:t>
      </w:r>
      <w:r w:rsidR="009A5383" w:rsidRPr="00405CEA">
        <w:rPr>
          <w:rFonts w:ascii="Garamond" w:hAnsi="Garamond"/>
          <w:bCs/>
          <w:szCs w:val="22"/>
        </w:rPr>
        <w:t>částečn</w:t>
      </w:r>
      <w:r w:rsidR="00405CEA">
        <w:rPr>
          <w:rFonts w:ascii="Garamond" w:hAnsi="Garamond"/>
          <w:bCs/>
          <w:szCs w:val="22"/>
        </w:rPr>
        <w:t>á</w:t>
      </w:r>
      <w:r w:rsidR="009A5383" w:rsidRPr="00405CEA">
        <w:rPr>
          <w:rFonts w:ascii="Garamond" w:hAnsi="Garamond"/>
          <w:bCs/>
          <w:szCs w:val="22"/>
        </w:rPr>
        <w:t xml:space="preserve"> uzavírk</w:t>
      </w:r>
      <w:r w:rsidR="00405CEA">
        <w:rPr>
          <w:rFonts w:ascii="Garamond" w:hAnsi="Garamond"/>
          <w:bCs/>
          <w:szCs w:val="22"/>
        </w:rPr>
        <w:t>a</w:t>
      </w:r>
      <w:r w:rsidR="009A5383" w:rsidRPr="00405CEA">
        <w:rPr>
          <w:rFonts w:ascii="Garamond" w:hAnsi="Garamond"/>
          <w:bCs/>
          <w:szCs w:val="22"/>
        </w:rPr>
        <w:t xml:space="preserve"> sil</w:t>
      </w:r>
      <w:r w:rsidR="00405CEA">
        <w:rPr>
          <w:rFonts w:ascii="Garamond" w:hAnsi="Garamond"/>
          <w:bCs/>
          <w:szCs w:val="22"/>
        </w:rPr>
        <w:t>nice</w:t>
      </w:r>
      <w:r w:rsidR="009A5383" w:rsidRPr="00405CEA">
        <w:rPr>
          <w:rFonts w:ascii="Garamond" w:hAnsi="Garamond"/>
          <w:bCs/>
          <w:szCs w:val="22"/>
        </w:rPr>
        <w:t xml:space="preserve"> III/21</w:t>
      </w:r>
      <w:r w:rsidR="00AF65AE" w:rsidRPr="00405CEA">
        <w:rPr>
          <w:rFonts w:ascii="Garamond" w:hAnsi="Garamond"/>
          <w:bCs/>
          <w:szCs w:val="22"/>
        </w:rPr>
        <w:t>041</w:t>
      </w:r>
      <w:r w:rsidR="00405CEA">
        <w:rPr>
          <w:rFonts w:ascii="Garamond" w:hAnsi="Garamond"/>
          <w:bCs/>
          <w:szCs w:val="22"/>
        </w:rPr>
        <w:t>)</w:t>
      </w:r>
      <w:r w:rsidR="009A5383" w:rsidRPr="00405CEA">
        <w:rPr>
          <w:rFonts w:ascii="Garamond" w:hAnsi="Garamond"/>
          <w:bCs/>
          <w:szCs w:val="22"/>
        </w:rPr>
        <w:t>.</w:t>
      </w:r>
    </w:p>
    <w:p w:rsidR="00410737" w:rsidRPr="00410737" w:rsidRDefault="00410737" w:rsidP="009A5383">
      <w:pPr>
        <w:pStyle w:val="Zhlav"/>
        <w:jc w:val="both"/>
        <w:rPr>
          <w:rFonts w:ascii="Garamond" w:hAnsi="Garamond"/>
          <w:color w:val="943634" w:themeColor="accent2" w:themeShade="BF"/>
          <w:sz w:val="22"/>
          <w:szCs w:val="22"/>
        </w:rPr>
      </w:pPr>
    </w:p>
    <w:p w:rsidR="000A4A99" w:rsidRPr="001013D9" w:rsidRDefault="000A4A99" w:rsidP="00554618">
      <w:pPr>
        <w:ind w:left="720" w:hanging="720"/>
        <w:jc w:val="both"/>
        <w:rPr>
          <w:rFonts w:ascii="Garamond" w:hAnsi="Garamond"/>
          <w:i/>
          <w:sz w:val="22"/>
          <w:szCs w:val="22"/>
        </w:rPr>
      </w:pPr>
    </w:p>
    <w:p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FB4826" w:rsidRDefault="007007A8" w:rsidP="006C3316">
      <w:pPr>
        <w:numPr>
          <w:ilvl w:val="0"/>
          <w:numId w:val="22"/>
        </w:numPr>
        <w:ind w:left="705" w:hanging="705"/>
        <w:jc w:val="both"/>
        <w:rPr>
          <w:rFonts w:ascii="Garamond" w:hAnsi="Garamond"/>
          <w:sz w:val="22"/>
          <w:szCs w:val="22"/>
        </w:rPr>
      </w:pPr>
      <w:r w:rsidRPr="00FB4826">
        <w:rPr>
          <w:rFonts w:ascii="Garamond" w:hAnsi="Garamond"/>
          <w:sz w:val="22"/>
          <w:szCs w:val="22"/>
        </w:rPr>
        <w:t xml:space="preserve">Zhotovitel bere na vědomí a prohlašuje, že jsou mu podmínky známy a zavazuje se postupovat v souladu       </w:t>
      </w:r>
    </w:p>
    <w:p w:rsidR="00377A54" w:rsidRPr="00FB4826" w:rsidRDefault="00377A54" w:rsidP="00377A54">
      <w:pPr>
        <w:jc w:val="both"/>
        <w:rPr>
          <w:rFonts w:ascii="Garamond" w:hAnsi="Garamond"/>
          <w:sz w:val="22"/>
          <w:szCs w:val="22"/>
        </w:rPr>
      </w:pPr>
      <w:r w:rsidRPr="00FB4826">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FB4826">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410737" w:rsidRDefault="00377A54" w:rsidP="006C3316">
      <w:pPr>
        <w:numPr>
          <w:ilvl w:val="0"/>
          <w:numId w:val="4"/>
        </w:numPr>
        <w:jc w:val="both"/>
        <w:rPr>
          <w:rFonts w:ascii="Garamond" w:hAnsi="Garamond"/>
          <w:sz w:val="22"/>
          <w:szCs w:val="22"/>
        </w:rPr>
      </w:pPr>
      <w:r w:rsidRPr="00410737">
        <w:rPr>
          <w:rFonts w:ascii="Garamond" w:hAnsi="Garamond"/>
          <w:sz w:val="22"/>
          <w:szCs w:val="22"/>
        </w:rPr>
        <w:t xml:space="preserve">Zadávací řízení ev.č. </w:t>
      </w:r>
      <w:r w:rsidR="009A5383">
        <w:rPr>
          <w:rFonts w:ascii="Garamond" w:hAnsi="Garamond"/>
          <w:color w:val="943634" w:themeColor="accent2" w:themeShade="BF"/>
          <w:sz w:val="22"/>
          <w:szCs w:val="22"/>
        </w:rPr>
        <w:t>…………</w:t>
      </w:r>
      <w:r w:rsidRPr="00410737">
        <w:rPr>
          <w:rFonts w:ascii="Garamond" w:hAnsi="Garamond"/>
          <w:color w:val="943634" w:themeColor="accent2" w:themeShade="BF"/>
          <w:sz w:val="22"/>
          <w:szCs w:val="22"/>
        </w:rPr>
        <w:t xml:space="preserve">/MR/SÚ/2019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E75321" w:rsidRDefault="00E75321" w:rsidP="00774DE2">
      <w:pPr>
        <w:pStyle w:val="Odstavecseseznamem"/>
        <w:ind w:left="1068"/>
        <w:jc w:val="both"/>
        <w:rPr>
          <w:rFonts w:ascii="Garamond" w:hAnsi="Garamond"/>
          <w:sz w:val="22"/>
          <w:szCs w:val="22"/>
        </w:rPr>
      </w:pPr>
    </w:p>
    <w:p w:rsidR="00405CEA" w:rsidRPr="00774DE2" w:rsidRDefault="00405CEA" w:rsidP="00774DE2">
      <w:pPr>
        <w:pStyle w:val="Odstavecseseznamem"/>
        <w:ind w:left="1068"/>
        <w:jc w:val="both"/>
        <w:rPr>
          <w:rFonts w:ascii="Garamond" w:hAnsi="Garamond"/>
          <w:sz w:val="22"/>
          <w:szCs w:val="22"/>
        </w:rPr>
      </w:pPr>
    </w:p>
    <w:p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rsidR="00880DBE" w:rsidRPr="009A5383" w:rsidRDefault="00880DBE" w:rsidP="009A5383">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r w:rsidRPr="009A5383">
        <w:rPr>
          <w:rFonts w:ascii="Garamond" w:hAnsi="Garamond"/>
          <w:sz w:val="22"/>
          <w:szCs w:val="22"/>
        </w:rPr>
        <w:t xml:space="preserve">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mezideponii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rsidR="00F77E0B" w:rsidRPr="00774DE2" w:rsidRDefault="00F77E0B" w:rsidP="006A7A78">
      <w:pPr>
        <w:ind w:left="1068"/>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používané laboratoře a dodavatele geodetických služeb,</w:t>
      </w:r>
    </w:p>
    <w:p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r w:rsidR="005F4B02" w:rsidRPr="00774DE2">
        <w:rPr>
          <w:rFonts w:ascii="Garamond" w:hAnsi="Garamond"/>
          <w:sz w:val="22"/>
          <w:szCs w:val="22"/>
        </w:rPr>
        <w:t>a</w:t>
      </w:r>
      <w:r w:rsidRPr="00774DE2">
        <w:rPr>
          <w:rFonts w:ascii="Garamond" w:hAnsi="Garamond"/>
          <w:sz w:val="22"/>
          <w:szCs w:val="22"/>
        </w:rPr>
        <w:t>typových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4</w:t>
      </w:r>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9B35F7" w:rsidRDefault="009B35F7" w:rsidP="006A7A78">
      <w:pPr>
        <w:ind w:left="720" w:hanging="720"/>
        <w:jc w:val="both"/>
        <w:rPr>
          <w:rFonts w:ascii="Garamond" w:hAnsi="Garamond"/>
          <w:sz w:val="22"/>
          <w:szCs w:val="22"/>
        </w:rPr>
      </w:pP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6A7A78">
      <w:pPr>
        <w:ind w:left="1416" w:hanging="707"/>
        <w:jc w:val="both"/>
        <w:rPr>
          <w:rFonts w:ascii="Garamond" w:hAnsi="Garamond"/>
          <w:sz w:val="16"/>
          <w:szCs w:val="16"/>
        </w:rPr>
      </w:pPr>
    </w:p>
    <w:p w:rsidR="00AD42CB" w:rsidRPr="000A4A99"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554618" w:rsidRPr="002B10E8">
        <w:rPr>
          <w:rFonts w:ascii="Garamond" w:hAnsi="Garamond"/>
          <w:b/>
          <w:color w:val="943634" w:themeColor="accent2" w:themeShade="BF"/>
          <w:szCs w:val="22"/>
        </w:rPr>
        <w:t>0</w:t>
      </w:r>
      <w:r w:rsidR="00FA5012">
        <w:rPr>
          <w:rFonts w:ascii="Garamond" w:hAnsi="Garamond"/>
          <w:b/>
          <w:color w:val="943634" w:themeColor="accent2" w:themeShade="BF"/>
          <w:szCs w:val="22"/>
        </w:rPr>
        <w:t>7</w:t>
      </w:r>
      <w:bookmarkStart w:id="0" w:name="_GoBack"/>
      <w:bookmarkEnd w:id="0"/>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2B10E8"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FB4826">
        <w:rPr>
          <w:rFonts w:ascii="Garamond" w:hAnsi="Garamond"/>
          <w:b/>
          <w:color w:val="943634" w:themeColor="accent2" w:themeShade="BF"/>
          <w:szCs w:val="22"/>
        </w:rPr>
        <w:t>30.9</w:t>
      </w:r>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r w:rsidRPr="002B10E8">
        <w:rPr>
          <w:rFonts w:ascii="Garamond" w:hAnsi="Garamond"/>
          <w:b/>
          <w:color w:val="943634" w:themeColor="accent2" w:themeShade="BF"/>
          <w:szCs w:val="22"/>
        </w:rPr>
        <w:t xml:space="preserve"> </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774DE2">
      <w:pPr>
        <w:pStyle w:val="Zkladntext2"/>
        <w:ind w:left="1065"/>
        <w:rPr>
          <w:rFonts w:ascii="Garamond" w:hAnsi="Garamond"/>
          <w:szCs w:val="22"/>
        </w:rPr>
      </w:pPr>
    </w:p>
    <w:p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1247FA">
      <w:pPr>
        <w:pStyle w:val="Zkladntextodsazen3"/>
        <w:spacing w:after="60"/>
        <w:jc w:val="left"/>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6C3316">
      <w:pPr>
        <w:pStyle w:val="Zkladntextodsazen3"/>
        <w:numPr>
          <w:ilvl w:val="1"/>
          <w:numId w:val="21"/>
        </w:numPr>
        <w:spacing w:after="60"/>
        <w:jc w:val="left"/>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1247FA">
      <w:pPr>
        <w:pStyle w:val="Zkladntextodsazen3"/>
        <w:spacing w:after="60"/>
        <w:ind w:left="360" w:firstLine="0"/>
        <w:jc w:val="left"/>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p>
    <w:p w:rsidR="00CA162F"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a vymezená pro provádění stavebních prací, zůstává beze změny. </w:t>
      </w:r>
    </w:p>
    <w:p w:rsidR="00F152BD" w:rsidRDefault="00F152BD" w:rsidP="001247FA">
      <w:pPr>
        <w:pStyle w:val="Zkladntextodsazen3"/>
        <w:spacing w:after="60"/>
        <w:ind w:left="360" w:firstLine="0"/>
        <w:jc w:val="left"/>
        <w:rPr>
          <w:rFonts w:ascii="Garamond" w:hAnsi="Garamond"/>
          <w:szCs w:val="22"/>
        </w:rPr>
      </w:pP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703ABE" w:rsidRPr="002B10E8" w:rsidRDefault="00703ABE" w:rsidP="00703ABE">
      <w:pPr>
        <w:pStyle w:val="Zkladntext2"/>
        <w:numPr>
          <w:ilvl w:val="0"/>
          <w:numId w:val="8"/>
        </w:numPr>
        <w:ind w:hanging="720"/>
        <w:rPr>
          <w:rFonts w:ascii="Garamond" w:hAnsi="Garamond"/>
          <w:color w:val="943634" w:themeColor="accent2" w:themeShade="BF"/>
          <w:szCs w:val="22"/>
        </w:rPr>
      </w:pPr>
      <w:r w:rsidRPr="002B10E8">
        <w:rPr>
          <w:rFonts w:ascii="Garamond" w:hAnsi="Garamond"/>
          <w:color w:val="943634" w:themeColor="accent2" w:themeShade="BF"/>
          <w:szCs w:val="22"/>
        </w:rPr>
        <w:lastRenderedPageBreak/>
        <w:t>Cena za provedení Díla dle této smlouvy činí dle dohody smluvních stran:</w:t>
      </w:r>
    </w:p>
    <w:p w:rsidR="00703ABE" w:rsidRPr="002B10E8" w:rsidRDefault="00703ABE" w:rsidP="00703ABE">
      <w:pPr>
        <w:pStyle w:val="BodyText21"/>
        <w:widowControl/>
        <w:numPr>
          <w:ilvl w:val="12"/>
          <w:numId w:val="0"/>
        </w:numPr>
        <w:rPr>
          <w:rFonts w:ascii="Garamond" w:hAnsi="Garamond"/>
          <w:b/>
          <w:color w:val="943634" w:themeColor="accent2" w:themeShade="BF"/>
          <w:szCs w:val="22"/>
        </w:rPr>
      </w:pPr>
      <w:r w:rsidRPr="002B10E8">
        <w:rPr>
          <w:rFonts w:ascii="Garamond" w:hAnsi="Garamond"/>
          <w:color w:val="943634" w:themeColor="accent2" w:themeShade="BF"/>
          <w:szCs w:val="22"/>
        </w:rPr>
        <w:t xml:space="preserve">            </w:t>
      </w:r>
      <w:r w:rsidRPr="002B10E8">
        <w:rPr>
          <w:rFonts w:ascii="Garamond" w:hAnsi="Garamond"/>
          <w:b/>
          <w:color w:val="943634" w:themeColor="accent2" w:themeShade="BF"/>
          <w:szCs w:val="22"/>
        </w:rPr>
        <w:t xml:space="preserve">Cena celkem bez DPH                                                          </w:t>
      </w:r>
      <w:r>
        <w:rPr>
          <w:rFonts w:ascii="Garamond" w:hAnsi="Garamond"/>
          <w:b/>
          <w:color w:val="943634" w:themeColor="accent2" w:themeShade="BF"/>
          <w:szCs w:val="22"/>
        </w:rPr>
        <w:tab/>
      </w:r>
      <w:r>
        <w:rPr>
          <w:rFonts w:ascii="Garamond" w:hAnsi="Garamond"/>
          <w:b/>
          <w:color w:val="943634" w:themeColor="accent2" w:themeShade="BF"/>
          <w:szCs w:val="22"/>
        </w:rPr>
        <w:tab/>
      </w:r>
      <w:r>
        <w:rPr>
          <w:rFonts w:ascii="Garamond" w:hAnsi="Garamond"/>
          <w:b/>
          <w:color w:val="943634" w:themeColor="accent2" w:themeShade="BF"/>
          <w:szCs w:val="22"/>
        </w:rPr>
        <w:tab/>
      </w:r>
      <w:r w:rsidRPr="002B10E8">
        <w:rPr>
          <w:rFonts w:ascii="Garamond" w:hAnsi="Garamond"/>
          <w:b/>
          <w:color w:val="943634" w:themeColor="accent2" w:themeShade="BF"/>
          <w:szCs w:val="22"/>
        </w:rPr>
        <w:t xml:space="preserve"> </w:t>
      </w:r>
      <w:r w:rsidR="00F152BD">
        <w:rPr>
          <w:rFonts w:ascii="Garamond" w:hAnsi="Garamond"/>
          <w:b/>
          <w:color w:val="943634" w:themeColor="accent2" w:themeShade="BF"/>
          <w:szCs w:val="22"/>
        </w:rPr>
        <w:t>……………..</w:t>
      </w:r>
      <w:r w:rsidRPr="002B10E8">
        <w:rPr>
          <w:rFonts w:ascii="Garamond" w:hAnsi="Garamond"/>
          <w:b/>
          <w:color w:val="943634" w:themeColor="accent2" w:themeShade="BF"/>
          <w:szCs w:val="22"/>
        </w:rPr>
        <w:t xml:space="preserve"> Kč</w:t>
      </w:r>
    </w:p>
    <w:p w:rsidR="00703ABE" w:rsidRPr="002B10E8" w:rsidRDefault="00703ABE" w:rsidP="00703ABE">
      <w:pPr>
        <w:pStyle w:val="BodyText21"/>
        <w:widowControl/>
        <w:numPr>
          <w:ilvl w:val="12"/>
          <w:numId w:val="0"/>
        </w:numP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703ABE" w:rsidRPr="002B10E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21 % DPH                                                                                 </w:t>
      </w:r>
      <w:r>
        <w:rPr>
          <w:rFonts w:ascii="Garamond" w:hAnsi="Garamond"/>
          <w:b/>
          <w:color w:val="943634" w:themeColor="accent2" w:themeShade="BF"/>
          <w:szCs w:val="22"/>
        </w:rPr>
        <w:t xml:space="preserve">                                 </w:t>
      </w:r>
      <w:r w:rsidR="00F152BD">
        <w:rPr>
          <w:rFonts w:ascii="Garamond" w:hAnsi="Garamond"/>
          <w:b/>
          <w:color w:val="943634" w:themeColor="accent2" w:themeShade="BF"/>
          <w:szCs w:val="22"/>
        </w:rPr>
        <w:t>……………</w:t>
      </w:r>
      <w:r>
        <w:rPr>
          <w:rFonts w:ascii="Garamond" w:hAnsi="Garamond"/>
          <w:b/>
          <w:color w:val="943634" w:themeColor="accent2" w:themeShade="BF"/>
          <w:szCs w:val="22"/>
        </w:rPr>
        <w:t xml:space="preserve"> </w:t>
      </w:r>
      <w:r w:rsidRPr="002B10E8">
        <w:rPr>
          <w:rFonts w:ascii="Garamond" w:hAnsi="Garamond"/>
          <w:b/>
          <w:color w:val="943634" w:themeColor="accent2" w:themeShade="BF"/>
          <w:szCs w:val="22"/>
        </w:rPr>
        <w:t>Kč</w:t>
      </w:r>
    </w:p>
    <w:p w:rsidR="00703ABE" w:rsidRPr="002B10E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703ABE" w:rsidRPr="002B10E8" w:rsidRDefault="00703ABE" w:rsidP="00703ABE">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Cena vč. DPH                                                                        </w:t>
      </w:r>
      <w:r>
        <w:rPr>
          <w:rFonts w:ascii="Garamond" w:hAnsi="Garamond"/>
          <w:b/>
          <w:color w:val="943634" w:themeColor="accent2" w:themeShade="BF"/>
          <w:sz w:val="22"/>
          <w:szCs w:val="22"/>
        </w:rPr>
        <w:t xml:space="preserve">                                </w:t>
      </w:r>
      <w:r w:rsidRPr="002B10E8">
        <w:rPr>
          <w:rFonts w:ascii="Garamond" w:hAnsi="Garamond"/>
          <w:b/>
          <w:color w:val="943634" w:themeColor="accent2" w:themeShade="BF"/>
          <w:sz w:val="22"/>
          <w:szCs w:val="22"/>
        </w:rPr>
        <w:t xml:space="preserve"> </w:t>
      </w:r>
      <w:r w:rsidR="00F152BD">
        <w:rPr>
          <w:rFonts w:ascii="Garamond" w:hAnsi="Garamond"/>
          <w:b/>
          <w:color w:val="943634" w:themeColor="accent2" w:themeShade="BF"/>
          <w:sz w:val="22"/>
          <w:szCs w:val="22"/>
        </w:rPr>
        <w:t>……………..</w:t>
      </w:r>
      <w:r w:rsidRPr="002B10E8">
        <w:rPr>
          <w:rFonts w:ascii="Garamond" w:hAnsi="Garamond"/>
          <w:b/>
          <w:color w:val="943634" w:themeColor="accent2" w:themeShade="BF"/>
          <w:sz w:val="22"/>
          <w:szCs w:val="22"/>
        </w:rPr>
        <w:t xml:space="preserve"> Kč </w:t>
      </w:r>
    </w:p>
    <w:p w:rsidR="00703ABE" w:rsidRPr="002B10E8" w:rsidRDefault="00703ABE" w:rsidP="00703ABE">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slovy: </w:t>
      </w:r>
    </w:p>
    <w:p w:rsidR="00703ABE" w:rsidRPr="002B10E8" w:rsidRDefault="00703ABE" w:rsidP="00703ABE">
      <w:pPr>
        <w:spacing w:before="100"/>
        <w:ind w:left="720" w:hanging="153"/>
        <w:jc w:val="both"/>
        <w:rPr>
          <w:rFonts w:ascii="Garamond" w:hAnsi="Garamond"/>
          <w:color w:val="943634" w:themeColor="accent2" w:themeShade="BF"/>
          <w:sz w:val="22"/>
          <w:szCs w:val="22"/>
        </w:rPr>
      </w:pPr>
      <w:r w:rsidRPr="002B10E8">
        <w:rPr>
          <w:rFonts w:ascii="Garamond" w:hAnsi="Garamond"/>
          <w:iCs/>
          <w:color w:val="943634" w:themeColor="accent2" w:themeShade="BF"/>
          <w:sz w:val="22"/>
          <w:szCs w:val="22"/>
        </w:rPr>
        <w:t>dále jen „</w:t>
      </w:r>
      <w:r w:rsidRPr="002B10E8">
        <w:rPr>
          <w:rFonts w:ascii="Garamond" w:hAnsi="Garamond"/>
          <w:b/>
          <w:iCs/>
          <w:color w:val="943634" w:themeColor="accent2" w:themeShade="BF"/>
          <w:sz w:val="22"/>
          <w:szCs w:val="22"/>
        </w:rPr>
        <w:t>Cena za provedení Díla</w:t>
      </w:r>
      <w:r w:rsidRPr="002B10E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si vyhrazuje právo jednostranně zmenšit rozsah předmětu plnění Díla. V tomto případě platí, že Cena za provedení Díla bude úměrně snížena s použitím cen z nabídkových rozpočtů. Nedojde-li mezi </w:t>
      </w:r>
      <w:r w:rsidRPr="006A7A78">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w:t>
      </w:r>
      <w:r w:rsidRPr="00774DE2">
        <w:rPr>
          <w:rFonts w:ascii="Garamond" w:hAnsi="Garamond"/>
          <w:sz w:val="22"/>
          <w:szCs w:val="22"/>
        </w:rPr>
        <w:lastRenderedPageBreak/>
        <w:t>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 xml:space="preserve">bezpečnosti a ochrany zdraví při práci v rámci provádění předmětu Díla v případě, že takováto povinnost vyplyne ze zákona č. 183/2006 Sb., ze zákona č.309/2006 Sb., příp. </w:t>
      </w:r>
      <w:r w:rsidRPr="006A7A78">
        <w:rPr>
          <w:rFonts w:ascii="Garamond" w:hAnsi="Garamond"/>
          <w:sz w:val="22"/>
          <w:szCs w:val="22"/>
        </w:rPr>
        <w:lastRenderedPageBreak/>
        <w:t>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Na základě písemného oznámení zhotovitele o dokončení Díla objednatel svolá nejpozději na poslední den předání a převzetí Díla přejímací řízení. Na přejímací řízení přizve objednatel zhotovitele a technický dozor. </w:t>
      </w:r>
      <w:r w:rsidRPr="006A7A78">
        <w:rPr>
          <w:rFonts w:ascii="Garamond" w:hAnsi="Garamond"/>
          <w:szCs w:val="22"/>
        </w:rPr>
        <w:lastRenderedPageBreak/>
        <w:t>Písemné oznámení zhotovitele musí být doručeno objednateli alespoň 10 pracovních dnů před termínem přejímacího řízení.</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Zhotovitel předloží při předání doko</w:t>
      </w:r>
      <w:r w:rsidR="00F152BD">
        <w:rPr>
          <w:rFonts w:ascii="Garamond" w:hAnsi="Garamond"/>
          <w:szCs w:val="22"/>
        </w:rPr>
        <w:t>nčeného Díla prohlášení o shodě</w:t>
      </w:r>
      <w:r w:rsidRPr="006A7A78">
        <w:rPr>
          <w:rFonts w:ascii="Garamond" w:hAnsi="Garamond"/>
          <w:szCs w:val="22"/>
        </w:rPr>
        <w:t xml:space="preserve"> </w:t>
      </w:r>
      <w:r w:rsidR="00F152BD">
        <w:rPr>
          <w:rFonts w:ascii="Garamond" w:hAnsi="Garamond"/>
          <w:szCs w:val="22"/>
        </w:rPr>
        <w:t>a</w:t>
      </w:r>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na rozhodující použité stavební materiály, příslušné reviz</w:t>
      </w:r>
      <w:r w:rsidR="00BC4E47">
        <w:rPr>
          <w:rFonts w:ascii="Garamond" w:hAnsi="Garamond"/>
          <w:szCs w:val="22"/>
        </w:rPr>
        <w:t>e a doklady o likvidaci odpadů.</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v </w:t>
      </w:r>
      <w:r w:rsidRPr="00513F1D">
        <w:rPr>
          <w:rFonts w:ascii="Garamond" w:hAnsi="Garamond"/>
          <w:szCs w:val="22"/>
        </w:rPr>
        <w:t xml:space="preserve">délce </w:t>
      </w:r>
      <w:r w:rsidR="00FB4826">
        <w:rPr>
          <w:rFonts w:ascii="Garamond" w:hAnsi="Garamond"/>
          <w:b/>
          <w:color w:val="943634" w:themeColor="accent2" w:themeShade="BF"/>
          <w:szCs w:val="22"/>
        </w:rPr>
        <w:t>36</w:t>
      </w:r>
      <w:r w:rsidRPr="00436AFD">
        <w:rPr>
          <w:rFonts w:ascii="Garamond" w:hAnsi="Garamond"/>
          <w:b/>
          <w:color w:val="943634" w:themeColor="accent2" w:themeShade="BF"/>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r w:rsidRPr="006A7A78">
        <w:rPr>
          <w:rFonts w:ascii="Garamond" w:hAnsi="Garamond"/>
          <w:szCs w:val="22"/>
        </w:rPr>
        <w:t xml:space="preserve">nebo  čl. IX. odst. 9.3 této smlouvy ze strany zhotovitele, je objednatel oprávněn uplatnit vůči zhotoviteli smluvní pokutu ve výši </w:t>
      </w:r>
      <w:r w:rsidR="0071003D">
        <w:rPr>
          <w:rFonts w:ascii="Garamond" w:hAnsi="Garamond"/>
          <w:color w:val="943634" w:themeColor="accent2" w:themeShade="BF"/>
          <w:szCs w:val="22"/>
        </w:rPr>
        <w:t>0,1</w:t>
      </w:r>
      <w:r w:rsidRPr="00436AFD">
        <w:rPr>
          <w:rFonts w:ascii="Garamond" w:hAnsi="Garamond"/>
          <w:color w:val="943634" w:themeColor="accent2" w:themeShade="BF"/>
          <w:szCs w:val="22"/>
        </w:rPr>
        <w:t xml:space="preserve"> </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w:t>
      </w:r>
      <w:r w:rsidRPr="006A7A78">
        <w:rPr>
          <w:rFonts w:ascii="Garamond" w:hAnsi="Garamond"/>
          <w:szCs w:val="22"/>
        </w:rPr>
        <w:lastRenderedPageBreak/>
        <w:t>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w:t>
      </w:r>
      <w:r w:rsidR="006A28D8">
        <w:rPr>
          <w:rFonts w:ascii="Garamond" w:hAnsi="Garamond"/>
          <w:szCs w:val="22"/>
        </w:rPr>
        <w:t>štní ujednání</w:t>
      </w:r>
    </w:p>
    <w:p w:rsidR="006C3316" w:rsidRPr="006C3316" w:rsidRDefault="006C3316" w:rsidP="006C3316"/>
    <w:p w:rsidR="00053588" w:rsidRDefault="006C3316" w:rsidP="006A28D8">
      <w:pPr>
        <w:ind w:left="705" w:hanging="705"/>
        <w:jc w:val="both"/>
        <w:rPr>
          <w:rFonts w:ascii="Garamond" w:hAnsi="Garamond"/>
          <w:sz w:val="22"/>
          <w:szCs w:val="22"/>
          <w:lang w:val="x-none" w:eastAsia="x-none"/>
        </w:rPr>
      </w:pPr>
      <w:r>
        <w:rPr>
          <w:rFonts w:ascii="Garamond" w:hAnsi="Garamond"/>
          <w:szCs w:val="22"/>
        </w:rPr>
        <w:t>13</w:t>
      </w:r>
      <w:r w:rsidR="00053588" w:rsidRPr="00CA162F">
        <w:rPr>
          <w:rFonts w:ascii="Garamond" w:hAnsi="Garamond"/>
          <w:szCs w:val="22"/>
        </w:rPr>
        <w:t>.1</w:t>
      </w:r>
      <w:r>
        <w:rPr>
          <w:rFonts w:ascii="Garamond" w:hAnsi="Garamond"/>
          <w:szCs w:val="22"/>
        </w:rPr>
        <w:t>.</w:t>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w:t>
      </w:r>
      <w:r w:rsidR="006A28D8">
        <w:rPr>
          <w:rFonts w:ascii="Garamond" w:hAnsi="Garamond"/>
          <w:sz w:val="22"/>
          <w:szCs w:val="22"/>
          <w:lang w:eastAsia="x-none"/>
        </w:rPr>
        <w:t>2</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053588" w:rsidRPr="00661990" w:rsidRDefault="00053588" w:rsidP="00053588">
      <w:pPr>
        <w:rPr>
          <w:sz w:val="20"/>
          <w:szCs w:val="20"/>
        </w:rPr>
      </w:pPr>
    </w:p>
    <w:p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rsidR="00062AA1" w:rsidRDefault="00062AA1" w:rsidP="00062AA1">
      <w:pPr>
        <w:keepNext/>
        <w:outlineLvl w:val="0"/>
        <w:rPr>
          <w:rFonts w:ascii="Garamond" w:hAnsi="Garamond"/>
          <w:b/>
          <w:color w:val="FF0000"/>
          <w:sz w:val="22"/>
          <w:szCs w:val="22"/>
        </w:rPr>
      </w:pPr>
    </w:p>
    <w:p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rsidR="00062AA1" w:rsidRPr="001247FA" w:rsidRDefault="00062AA1" w:rsidP="00062AA1">
      <w:pPr>
        <w:pStyle w:val="Zkladntextodsazen3"/>
        <w:snapToGrid w:val="0"/>
        <w:spacing w:after="60"/>
        <w:ind w:left="5523"/>
        <w:rPr>
          <w:rFonts w:ascii="Garamond" w:hAnsi="Garamond"/>
          <w:szCs w:val="22"/>
        </w:rPr>
      </w:pPr>
    </w:p>
    <w:p w:rsidR="00DF6323" w:rsidRPr="00774DE2" w:rsidRDefault="00062AA1" w:rsidP="006A7A78">
      <w:pPr>
        <w:keepNext/>
        <w:jc w:val="center"/>
        <w:outlineLvl w:val="0"/>
        <w:rPr>
          <w:rFonts w:ascii="Garamond" w:hAnsi="Garamond"/>
          <w:b/>
          <w:sz w:val="22"/>
          <w:szCs w:val="22"/>
        </w:rPr>
      </w:pPr>
      <w:r>
        <w:rPr>
          <w:rFonts w:ascii="Garamond" w:hAnsi="Garamond"/>
          <w:b/>
          <w:sz w:val="22"/>
          <w:szCs w:val="22"/>
        </w:rPr>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Pr="00801289">
        <w:rPr>
          <w:rFonts w:ascii="Garamond" w:hAnsi="Garamond"/>
          <w:sz w:val="22"/>
          <w:szCs w:val="22"/>
        </w:rPr>
        <w:t xml:space="preserve">stejnopisy. Každý stejnopis této smlouvy má právní sílu originálu.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lastRenderedPageBreak/>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rsidR="006A28D8" w:rsidRDefault="006A28D8" w:rsidP="006A28D8">
      <w:pPr>
        <w:ind w:left="567"/>
        <w:jc w:val="both"/>
        <w:rPr>
          <w:rFonts w:ascii="Garamond" w:hAnsi="Garamond"/>
          <w:sz w:val="22"/>
          <w:szCs w:val="22"/>
        </w:rPr>
      </w:pPr>
    </w:p>
    <w:p w:rsidR="006A28D8" w:rsidRPr="007E6822" w:rsidRDefault="006A28D8" w:rsidP="006A28D8">
      <w:pPr>
        <w:ind w:left="708"/>
        <w:jc w:val="both"/>
        <w:rPr>
          <w:rFonts w:ascii="Garamond" w:hAnsi="Garamond"/>
          <w:sz w:val="22"/>
          <w:szCs w:val="22"/>
        </w:rPr>
      </w:pPr>
      <w:r w:rsidRPr="007E6822">
        <w:rPr>
          <w:rFonts w:ascii="Garamond" w:hAnsi="Garamond"/>
          <w:sz w:val="22"/>
          <w:szCs w:val="22"/>
        </w:rPr>
        <w:t>Přílohy uložené v písemné podobě u zadavatele:</w:t>
      </w:r>
    </w:p>
    <w:p w:rsidR="006A28D8" w:rsidRDefault="006A28D8" w:rsidP="006A28D8">
      <w:pPr>
        <w:numPr>
          <w:ilvl w:val="0"/>
          <w:numId w:val="27"/>
        </w:numPr>
        <w:spacing w:after="40"/>
        <w:ind w:left="992" w:hanging="284"/>
        <w:jc w:val="both"/>
        <w:rPr>
          <w:rFonts w:ascii="Garamond" w:hAnsi="Garamond"/>
          <w:sz w:val="22"/>
          <w:szCs w:val="22"/>
        </w:rPr>
      </w:pPr>
      <w:r w:rsidRPr="007E6822">
        <w:rPr>
          <w:rFonts w:ascii="Garamond" w:hAnsi="Garamond"/>
          <w:sz w:val="22"/>
          <w:szCs w:val="22"/>
        </w:rPr>
        <w:t xml:space="preserve">Zadávací řízení č. </w:t>
      </w:r>
      <w:r w:rsidRPr="00FF63F8">
        <w:rPr>
          <w:rFonts w:ascii="Garamond" w:hAnsi="Garamond"/>
          <w:color w:val="FF0000"/>
          <w:sz w:val="22"/>
          <w:szCs w:val="22"/>
        </w:rPr>
        <w:t>…/MR/SÚ/2019</w:t>
      </w:r>
    </w:p>
    <w:p w:rsidR="006A28D8" w:rsidRDefault="006A28D8" w:rsidP="006A28D8">
      <w:pPr>
        <w:numPr>
          <w:ilvl w:val="0"/>
          <w:numId w:val="27"/>
        </w:numPr>
        <w:spacing w:after="40"/>
        <w:ind w:left="992" w:hanging="284"/>
        <w:jc w:val="both"/>
        <w:rPr>
          <w:rFonts w:ascii="Garamond" w:hAnsi="Garamond"/>
          <w:sz w:val="22"/>
          <w:szCs w:val="22"/>
        </w:rPr>
      </w:pPr>
      <w:r>
        <w:rPr>
          <w:rFonts w:ascii="Garamond" w:hAnsi="Garamond"/>
          <w:sz w:val="22"/>
          <w:szCs w:val="22"/>
        </w:rPr>
        <w:t>Zadávací dokumentace (včetně všech příloh)</w:t>
      </w:r>
    </w:p>
    <w:p w:rsidR="006A28D8" w:rsidRPr="007E6822" w:rsidRDefault="006A28D8" w:rsidP="006A28D8">
      <w:pPr>
        <w:numPr>
          <w:ilvl w:val="0"/>
          <w:numId w:val="27"/>
        </w:numPr>
        <w:spacing w:after="40"/>
        <w:ind w:left="992" w:hanging="284"/>
        <w:jc w:val="both"/>
        <w:rPr>
          <w:rFonts w:ascii="Garamond" w:hAnsi="Garamond"/>
          <w:sz w:val="22"/>
          <w:szCs w:val="22"/>
        </w:rPr>
      </w:pPr>
      <w:r>
        <w:rPr>
          <w:rFonts w:ascii="Garamond" w:hAnsi="Garamond"/>
          <w:sz w:val="22"/>
          <w:szCs w:val="22"/>
        </w:rPr>
        <w:t>Nabídka zhotovitele (včetně položkové kalkulace)</w:t>
      </w:r>
    </w:p>
    <w:p w:rsidR="00303E17" w:rsidRPr="00774DE2" w:rsidRDefault="00303E17" w:rsidP="00303E17">
      <w:pPr>
        <w:ind w:left="1068"/>
        <w:jc w:val="both"/>
        <w:rPr>
          <w:rFonts w:ascii="Garamond" w:hAnsi="Garamond"/>
          <w:i/>
          <w:iCs/>
          <w:sz w:val="22"/>
        </w:rPr>
      </w:pPr>
    </w:p>
    <w:p w:rsidR="00C82C8F" w:rsidRDefault="00C82C8F" w:rsidP="00C82C8F">
      <w:pPr>
        <w:jc w:val="both"/>
        <w:rPr>
          <w:rFonts w:ascii="Garamond" w:hAnsi="Garamond"/>
          <w:i/>
          <w:iCs/>
          <w:sz w:val="22"/>
        </w:rPr>
      </w:pPr>
    </w:p>
    <w:p w:rsidR="009B35F7" w:rsidRDefault="009B35F7" w:rsidP="00C82C8F">
      <w:pPr>
        <w:jc w:val="both"/>
        <w:rPr>
          <w:rFonts w:ascii="Garamond" w:hAnsi="Garamond"/>
          <w:i/>
          <w:iCs/>
          <w:sz w:val="22"/>
        </w:rPr>
      </w:pPr>
    </w:p>
    <w:p w:rsidR="009B35F7" w:rsidRPr="00774DE2" w:rsidRDefault="009B35F7"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Default="007C2BEF" w:rsidP="00782757">
            <w:pPr>
              <w:jc w:val="both"/>
              <w:rPr>
                <w:rFonts w:ascii="Garamond" w:hAnsi="Garamond"/>
                <w:sz w:val="22"/>
              </w:rPr>
            </w:pPr>
          </w:p>
          <w:p w:rsidR="009B35F7" w:rsidRDefault="009B35F7" w:rsidP="00782757">
            <w:pPr>
              <w:jc w:val="both"/>
              <w:rPr>
                <w:rFonts w:ascii="Garamond" w:hAnsi="Garamond"/>
                <w:sz w:val="22"/>
              </w:rPr>
            </w:pPr>
          </w:p>
          <w:p w:rsidR="009B35F7" w:rsidRPr="00F9383D" w:rsidRDefault="009B35F7" w:rsidP="00782757">
            <w:pPr>
              <w:jc w:val="both"/>
              <w:rPr>
                <w:rFonts w:ascii="Garamond" w:hAnsi="Garamond"/>
                <w:sz w:val="22"/>
              </w:rPr>
            </w:pPr>
          </w:p>
          <w:p w:rsidR="007C2BEF" w:rsidRDefault="007C2BEF" w:rsidP="00782757">
            <w:pPr>
              <w:jc w:val="both"/>
              <w:rPr>
                <w:rFonts w:ascii="Garamond" w:hAnsi="Garamond"/>
                <w:sz w:val="22"/>
              </w:rPr>
            </w:pPr>
          </w:p>
          <w:p w:rsidR="00C572AF" w:rsidRDefault="00C572AF" w:rsidP="00782757">
            <w:pPr>
              <w:jc w:val="both"/>
              <w:rPr>
                <w:rFonts w:ascii="Garamond" w:hAnsi="Garamond"/>
                <w:sz w:val="22"/>
              </w:rPr>
            </w:pPr>
          </w:p>
          <w:p w:rsidR="00C572AF" w:rsidRPr="00F9383D" w:rsidRDefault="00C572A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FA5012">
      <w:rPr>
        <w:noProof/>
      </w:rPr>
      <w:t>3</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3EF2032"/>
    <w:multiLevelType w:val="hybridMultilevel"/>
    <w:tmpl w:val="16866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nsid w:val="75A8718E"/>
    <w:multiLevelType w:val="multilevel"/>
    <w:tmpl w:val="B3AC623C"/>
    <w:numStyleLink w:val="Styl1"/>
  </w:abstractNum>
  <w:abstractNum w:abstractNumId="23">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3"/>
  </w:num>
  <w:num w:numId="3">
    <w:abstractNumId w:val="12"/>
  </w:num>
  <w:num w:numId="4">
    <w:abstractNumId w:val="15"/>
  </w:num>
  <w:num w:numId="5">
    <w:abstractNumId w:val="7"/>
  </w:num>
  <w:num w:numId="6">
    <w:abstractNumId w:val="21"/>
  </w:num>
  <w:num w:numId="7">
    <w:abstractNumId w:val="17"/>
  </w:num>
  <w:num w:numId="8">
    <w:abstractNumId w:val="14"/>
  </w:num>
  <w:num w:numId="9">
    <w:abstractNumId w:val="9"/>
  </w:num>
  <w:num w:numId="10">
    <w:abstractNumId w:val="19"/>
  </w:num>
  <w:num w:numId="11">
    <w:abstractNumId w:val="23"/>
  </w:num>
  <w:num w:numId="12">
    <w:abstractNumId w:val="20"/>
  </w:num>
  <w:num w:numId="13">
    <w:abstractNumId w:val="1"/>
  </w:num>
  <w:num w:numId="14">
    <w:abstractNumId w:val="10"/>
  </w:num>
  <w:num w:numId="15">
    <w:abstractNumId w:val="2"/>
  </w:num>
  <w:num w:numId="16">
    <w:abstractNumId w:val="25"/>
  </w:num>
  <w:num w:numId="17">
    <w:abstractNumId w:val="4"/>
  </w:num>
  <w:num w:numId="18">
    <w:abstractNumId w:val="5"/>
  </w:num>
  <w:num w:numId="19">
    <w:abstractNumId w:val="16"/>
  </w:num>
  <w:num w:numId="20">
    <w:abstractNumId w:val="22"/>
    <w:lvlOverride w:ilvl="1">
      <w:lvl w:ilvl="1">
        <w:start w:val="1"/>
        <w:numFmt w:val="decimal"/>
        <w:lvlText w:val="%1.%2."/>
        <w:lvlJc w:val="left"/>
        <w:pPr>
          <w:ind w:left="720" w:hanging="720"/>
        </w:pPr>
        <w:rPr>
          <w:rFonts w:hint="default"/>
          <w:sz w:val="22"/>
          <w:szCs w:val="22"/>
        </w:rPr>
      </w:lvl>
    </w:lvlOverride>
  </w:num>
  <w:num w:numId="21">
    <w:abstractNumId w:val="24"/>
  </w:num>
  <w:num w:numId="22">
    <w:abstractNumId w:val="18"/>
  </w:num>
  <w:num w:numId="23">
    <w:abstractNumId w:val="8"/>
  </w:num>
  <w:num w:numId="24">
    <w:abstractNumId w:val="0"/>
  </w:num>
  <w:num w:numId="25">
    <w:abstractNumId w:val="3"/>
  </w:num>
  <w:num w:numId="26">
    <w:abstractNumId w:val="11"/>
  </w:num>
  <w:num w:numId="2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5BF9"/>
    <w:rsid w:val="003A3A61"/>
    <w:rsid w:val="003A4E21"/>
    <w:rsid w:val="003D3B82"/>
    <w:rsid w:val="003E1730"/>
    <w:rsid w:val="003F7C82"/>
    <w:rsid w:val="00405C2C"/>
    <w:rsid w:val="00405CEA"/>
    <w:rsid w:val="00410737"/>
    <w:rsid w:val="00413A48"/>
    <w:rsid w:val="004170E3"/>
    <w:rsid w:val="0042345A"/>
    <w:rsid w:val="00432909"/>
    <w:rsid w:val="004357CF"/>
    <w:rsid w:val="00435E80"/>
    <w:rsid w:val="00436AFD"/>
    <w:rsid w:val="00447736"/>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830DD"/>
    <w:rsid w:val="00686335"/>
    <w:rsid w:val="00694010"/>
    <w:rsid w:val="006A28D8"/>
    <w:rsid w:val="006A6119"/>
    <w:rsid w:val="006A7A78"/>
    <w:rsid w:val="006C3316"/>
    <w:rsid w:val="006E26F3"/>
    <w:rsid w:val="006F6BF8"/>
    <w:rsid w:val="007007A8"/>
    <w:rsid w:val="00703ABE"/>
    <w:rsid w:val="0071003D"/>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6AA"/>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A5383"/>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0CEE"/>
    <w:rsid w:val="00AC5573"/>
    <w:rsid w:val="00AD42CB"/>
    <w:rsid w:val="00AE49BD"/>
    <w:rsid w:val="00AF65AE"/>
    <w:rsid w:val="00B1370E"/>
    <w:rsid w:val="00B15E5A"/>
    <w:rsid w:val="00B2375A"/>
    <w:rsid w:val="00B514DA"/>
    <w:rsid w:val="00B542DD"/>
    <w:rsid w:val="00B724B7"/>
    <w:rsid w:val="00B9074C"/>
    <w:rsid w:val="00BC4E47"/>
    <w:rsid w:val="00BC5167"/>
    <w:rsid w:val="00BD0091"/>
    <w:rsid w:val="00BD170B"/>
    <w:rsid w:val="00BD5A6F"/>
    <w:rsid w:val="00BD78BF"/>
    <w:rsid w:val="00BF1783"/>
    <w:rsid w:val="00BF6695"/>
    <w:rsid w:val="00C006CA"/>
    <w:rsid w:val="00C12852"/>
    <w:rsid w:val="00C20949"/>
    <w:rsid w:val="00C25172"/>
    <w:rsid w:val="00C33C57"/>
    <w:rsid w:val="00C44EFD"/>
    <w:rsid w:val="00C53E8F"/>
    <w:rsid w:val="00C572AF"/>
    <w:rsid w:val="00C57314"/>
    <w:rsid w:val="00C63BFB"/>
    <w:rsid w:val="00C70447"/>
    <w:rsid w:val="00C73CCE"/>
    <w:rsid w:val="00C82C8F"/>
    <w:rsid w:val="00C9173A"/>
    <w:rsid w:val="00CA162F"/>
    <w:rsid w:val="00CA3EC6"/>
    <w:rsid w:val="00CB4F6E"/>
    <w:rsid w:val="00CB7651"/>
    <w:rsid w:val="00CC0018"/>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E6678"/>
    <w:rsid w:val="00EE70C5"/>
    <w:rsid w:val="00EF291C"/>
    <w:rsid w:val="00F05889"/>
    <w:rsid w:val="00F152BD"/>
    <w:rsid w:val="00F31CC2"/>
    <w:rsid w:val="00F525C2"/>
    <w:rsid w:val="00F600B6"/>
    <w:rsid w:val="00F77E0B"/>
    <w:rsid w:val="00FA5012"/>
    <w:rsid w:val="00FA7192"/>
    <w:rsid w:val="00FB4826"/>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2587CBF-8BCE-45E6-9415-BF8DD7FBA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11</Pages>
  <Words>6101</Words>
  <Characters>35998</Characters>
  <Application>Microsoft Office Word</Application>
  <DocSecurity>0</DocSecurity>
  <Lines>299</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7</cp:revision>
  <cp:lastPrinted>2013-05-13T13:19:00Z</cp:lastPrinted>
  <dcterms:created xsi:type="dcterms:W3CDTF">2019-03-20T06:32:00Z</dcterms:created>
  <dcterms:modified xsi:type="dcterms:W3CDTF">2019-06-06T07:00:00Z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